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96A" w:rsidRDefault="0058096A" w:rsidP="0058096A">
      <w:pPr>
        <w:spacing w:after="300" w:line="293" w:lineRule="atLeast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pacing w:val="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4444"/>
          <w:spacing w:val="2"/>
          <w:sz w:val="24"/>
          <w:szCs w:val="24"/>
        </w:rPr>
        <w:t>Services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>Oil and Gas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</w: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>Surface and Mineral Title Research</w:t>
      </w:r>
    </w:p>
    <w:p w:rsidR="0058096A" w:rsidRP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</w: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 xml:space="preserve">Lease and Mineral </w:t>
      </w: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>Acquisition</w:t>
      </w:r>
    </w:p>
    <w:p w:rsidR="0058096A" w:rsidRPr="0058096A" w:rsidRDefault="0058096A" w:rsidP="0058096A">
      <w:pPr>
        <w:textAlignment w:val="baseline"/>
        <w:rPr>
          <w:rFonts w:eastAsia="Times New Roman" w:cs="Arial"/>
          <w:b/>
          <w:bCs/>
          <w:color w:val="444444"/>
          <w:sz w:val="24"/>
          <w:szCs w:val="24"/>
        </w:rPr>
      </w:pPr>
      <w:r>
        <w:rPr>
          <w:rFonts w:eastAsia="Times New Roman" w:cs="Arial"/>
          <w:b/>
          <w:bCs/>
          <w:color w:val="444444"/>
          <w:sz w:val="24"/>
          <w:szCs w:val="24"/>
        </w:rPr>
        <w:tab/>
      </w:r>
      <w:r w:rsidRPr="0058096A">
        <w:rPr>
          <w:rFonts w:eastAsia="Times New Roman" w:cs="Arial"/>
          <w:b/>
          <w:bCs/>
          <w:color w:val="444444"/>
          <w:sz w:val="24"/>
          <w:szCs w:val="24"/>
        </w:rPr>
        <w:t>Lease Checks and Take Offs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</w:p>
    <w:p w:rsidR="0058096A" w:rsidRP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>Right of Way</w:t>
      </w:r>
    </w:p>
    <w:p w:rsidR="0058096A" w:rsidRP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  <w:t>Surface</w:t>
      </w: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 xml:space="preserve"> </w:t>
      </w: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>Title and Acquisition</w:t>
      </w: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 xml:space="preserve"> </w:t>
      </w:r>
    </w:p>
    <w:p w:rsidR="0058096A" w:rsidRDefault="0058096A" w:rsidP="0058096A">
      <w:pPr>
        <w:textAlignment w:val="baseline"/>
        <w:rPr>
          <w:rFonts w:eastAsia="Times New Roman" w:cs="Arial"/>
          <w:b/>
          <w:bCs/>
          <w:color w:val="444444"/>
          <w:sz w:val="24"/>
          <w:szCs w:val="24"/>
        </w:rPr>
      </w:pPr>
      <w:r>
        <w:rPr>
          <w:rFonts w:eastAsia="Times New Roman" w:cs="Arial"/>
          <w:b/>
          <w:bCs/>
          <w:color w:val="444444"/>
          <w:sz w:val="24"/>
          <w:szCs w:val="24"/>
        </w:rPr>
        <w:tab/>
      </w:r>
      <w:r w:rsidRPr="0058096A">
        <w:rPr>
          <w:rFonts w:eastAsia="Times New Roman" w:cs="Arial"/>
          <w:b/>
          <w:bCs/>
          <w:color w:val="444444"/>
          <w:sz w:val="24"/>
          <w:szCs w:val="24"/>
        </w:rPr>
        <w:t>Surface Site Negotiations</w:t>
      </w:r>
      <w:r>
        <w:rPr>
          <w:rFonts w:eastAsia="Times New Roman" w:cs="Arial"/>
          <w:b/>
          <w:bCs/>
          <w:color w:val="444444"/>
          <w:sz w:val="24"/>
          <w:szCs w:val="24"/>
        </w:rPr>
        <w:t xml:space="preserve"> and Agreements</w:t>
      </w:r>
    </w:p>
    <w:p w:rsidR="0058096A" w:rsidRPr="0058096A" w:rsidRDefault="0058096A" w:rsidP="0058096A">
      <w:pPr>
        <w:textAlignment w:val="baseline"/>
        <w:rPr>
          <w:rFonts w:eastAsia="Times New Roman" w:cs="Arial"/>
          <w:b/>
          <w:bCs/>
          <w:color w:val="444444"/>
          <w:sz w:val="24"/>
          <w:szCs w:val="24"/>
        </w:rPr>
      </w:pPr>
      <w:r>
        <w:rPr>
          <w:rFonts w:eastAsia="Times New Roman" w:cs="Arial"/>
          <w:b/>
          <w:bCs/>
          <w:color w:val="444444"/>
          <w:sz w:val="24"/>
          <w:szCs w:val="24"/>
        </w:rPr>
        <w:tab/>
        <w:t>Right of Way Engineering</w:t>
      </w:r>
    </w:p>
    <w:p w:rsidR="0058096A" w:rsidRPr="0058096A" w:rsidRDefault="0058096A" w:rsidP="0058096A">
      <w:pPr>
        <w:textAlignment w:val="baseline"/>
        <w:rPr>
          <w:rFonts w:eastAsia="Times New Roman" w:cs="Arial"/>
          <w:b/>
          <w:bCs/>
          <w:color w:val="444444"/>
          <w:sz w:val="24"/>
          <w:szCs w:val="24"/>
        </w:rPr>
      </w:pP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>Seismic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  <w:t>Surface and Mineral Permitting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  <w:t xml:space="preserve">Working Interest Permitting 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  <w:t>Damage Settlements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</w:p>
    <w:p w:rsidR="0058096A" w:rsidRP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>Abstracting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</w:p>
    <w:p w:rsidR="0058096A" w:rsidRP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 xml:space="preserve">GIS Solutions - </w:t>
      </w:r>
      <w:r w:rsidRPr="0058096A">
        <w:rPr>
          <w:rFonts w:eastAsia="Times New Roman" w:cs="Arial"/>
          <w:b/>
          <w:bCs/>
          <w:color w:val="444444"/>
          <w:sz w:val="24"/>
          <w:szCs w:val="24"/>
        </w:rPr>
        <w:t>Secure Online Maps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>Title Curative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  <w:t>Conveyances, Assignments and Transfers</w:t>
      </w:r>
    </w:p>
    <w:p w:rsid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  <w:t>Title Conflict Resolution</w:t>
      </w:r>
    </w:p>
    <w:p w:rsidR="00E472A5" w:rsidRDefault="00E472A5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ab/>
        <w:t>Probate Matters</w:t>
      </w:r>
      <w:bookmarkStart w:id="0" w:name="_GoBack"/>
      <w:bookmarkEnd w:id="0"/>
    </w:p>
    <w:p w:rsidR="00E472A5" w:rsidRDefault="00E472A5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</w:p>
    <w:p w:rsidR="0058096A" w:rsidRDefault="00E472A5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>
        <w:rPr>
          <w:rFonts w:eastAsia="Times New Roman" w:cs="Arial"/>
          <w:b/>
          <w:bCs/>
          <w:color w:val="444444"/>
          <w:spacing w:val="2"/>
          <w:sz w:val="24"/>
          <w:szCs w:val="24"/>
        </w:rPr>
        <w:t xml:space="preserve">Due Diligence and File Management </w:t>
      </w:r>
    </w:p>
    <w:p w:rsidR="0058096A" w:rsidRPr="0058096A" w:rsidRDefault="0058096A" w:rsidP="0058096A">
      <w:pPr>
        <w:textAlignment w:val="baseline"/>
        <w:outlineLvl w:val="2"/>
        <w:rPr>
          <w:rFonts w:eastAsia="Times New Roman" w:cs="Arial"/>
          <w:b/>
          <w:bCs/>
          <w:color w:val="444444"/>
          <w:spacing w:val="2"/>
          <w:sz w:val="24"/>
          <w:szCs w:val="24"/>
        </w:rPr>
      </w:pPr>
      <w:r w:rsidRPr="0058096A">
        <w:rPr>
          <w:rFonts w:eastAsia="Times New Roman" w:cs="Arial"/>
          <w:b/>
          <w:bCs/>
          <w:color w:val="444444"/>
          <w:spacing w:val="2"/>
          <w:sz w:val="24"/>
          <w:szCs w:val="24"/>
        </w:rPr>
        <w:t>Regulatory Agency Permitting</w:t>
      </w:r>
    </w:p>
    <w:p w:rsidR="006D080D" w:rsidRPr="0058096A" w:rsidRDefault="006D080D" w:rsidP="0058096A">
      <w:pPr>
        <w:rPr>
          <w:sz w:val="24"/>
          <w:szCs w:val="24"/>
        </w:rPr>
      </w:pPr>
    </w:p>
    <w:sectPr w:rsidR="006D080D" w:rsidRPr="0058096A" w:rsidSect="0058096A">
      <w:pgSz w:w="12240" w:h="15840" w:code="1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31CAC"/>
    <w:multiLevelType w:val="multilevel"/>
    <w:tmpl w:val="444C6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3778C"/>
    <w:multiLevelType w:val="multilevel"/>
    <w:tmpl w:val="19B46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D6209"/>
    <w:multiLevelType w:val="multilevel"/>
    <w:tmpl w:val="98A0D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004E5"/>
    <w:multiLevelType w:val="multilevel"/>
    <w:tmpl w:val="E800D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9240D4"/>
    <w:multiLevelType w:val="multilevel"/>
    <w:tmpl w:val="7FF68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980AEF"/>
    <w:multiLevelType w:val="multilevel"/>
    <w:tmpl w:val="6AD269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6A"/>
    <w:rsid w:val="0058096A"/>
    <w:rsid w:val="005A05FA"/>
    <w:rsid w:val="006D080D"/>
    <w:rsid w:val="00E4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2941">
              <w:marLeft w:val="0"/>
              <w:marRight w:val="288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23765">
              <w:marLeft w:val="0"/>
              <w:marRight w:val="288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0009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9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6625">
              <w:marLeft w:val="0"/>
              <w:marRight w:val="288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4892">
              <w:marLeft w:val="0"/>
              <w:marRight w:val="288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69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1</cp:revision>
  <dcterms:created xsi:type="dcterms:W3CDTF">2015-01-13T20:02:00Z</dcterms:created>
  <dcterms:modified xsi:type="dcterms:W3CDTF">2015-01-13T20:17:00Z</dcterms:modified>
</cp:coreProperties>
</file>